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ак-физическому-лицу-получить-инн"/>
    <w:p>
      <w:pPr>
        <w:pStyle w:val="Heading3"/>
      </w:pPr>
      <w:r>
        <w:t xml:space="preserve">Как физическому лицу получить ИНН?</w:t>
      </w:r>
    </w:p>
    <w:p>
      <w:pPr>
        <w:pStyle w:val="FirstParagraph"/>
      </w:pPr>
      <w:r>
        <w:t xml:space="preserve">13.05.2021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http://khovrino.mos.ru/presscenter/news/detail/9941689.html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Ховрино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hovrino.mos.ru" TargetMode="External" /><Relationship Type="http://schemas.openxmlformats.org/officeDocument/2006/relationships/hyperlink" Id="rId20" Target="http://khovrino.mos.ru/presscenter/news/detail/99416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hovrino.mos.ru" TargetMode="External" /><Relationship Type="http://schemas.openxmlformats.org/officeDocument/2006/relationships/hyperlink" Id="rId20" Target="http://khovrino.mos.ru/presscenter/news/detail/99416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2025-08-05T15:43:13Z</dcterms:created>
  <dcterms:modified xsi:type="dcterms:W3CDTF">2025-08-05T15:43:13Z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