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840fbeab51e62114ea36a929c3d9d77dc5b97"/>
    <w:p>
      <w:pPr>
        <w:pStyle w:val="Heading3"/>
      </w:pPr>
      <w:r>
        <w:t xml:space="preserve">Что делать при обнаружении подозрительного предмета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r>
        <w:drawing>
          <wp:inline>
            <wp:extent cx="5200650" cy="7467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hovrino.mos.ru/www/10/Что%20делать%20при%20обнаружении%20подозрительного%20предмета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46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http://khovrino.mos.ru/the-antiterrorist-commission-of-the-district-khovrino/memo/detail/10613570.html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Ховрино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hovrino.mos.ru" TargetMode="External" /><Relationship Type="http://schemas.openxmlformats.org/officeDocument/2006/relationships/hyperlink" Id="rId23" Target="http://khovrino.mos.ru/the-antiterrorist-commission-of-the-district-khovrino/memo/detail/10613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hovrino.mos.ru" TargetMode="External" /><Relationship Type="http://schemas.openxmlformats.org/officeDocument/2006/relationships/hyperlink" Id="rId23" Target="http://khovrino.mos.ru/the-antiterrorist-commission-of-the-district-khovrino/memo/detail/10613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2023-07-20T05:25:13Z</dcterms:created>
  <dcterms:modified xsi:type="dcterms:W3CDTF">2023-07-20T05:25:13Z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